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8F17F2" w:rsidRPr="008F17F2" w:rsidTr="0009342F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17F2" w:rsidRDefault="008F17F2" w:rsidP="000934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РЕСПУБЛИКАҺЫ</w:t>
            </w:r>
          </w:p>
          <w:p w:rsidR="008F17F2" w:rsidRDefault="008F17F2" w:rsidP="000934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ИГЛИН РАЙОНЫ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УРМАН АУЫЛ СОВЕТЫ</w:t>
            </w:r>
          </w:p>
          <w:p w:rsidR="008F17F2" w:rsidRDefault="008F17F2" w:rsidP="000934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 БИЛӘМӘҺЕ  СОВЕТЫ</w:t>
            </w:r>
          </w:p>
          <w:p w:rsidR="008F17F2" w:rsidRDefault="008F17F2" w:rsidP="00093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452405, Урман  ауылы, Калинин урамы, 30</w:t>
            </w:r>
          </w:p>
          <w:p w:rsidR="008F17F2" w:rsidRDefault="008F17F2" w:rsidP="000934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Тел.(34795)2-61-97, факс 2-61-33</w:t>
            </w:r>
          </w:p>
          <w:p w:rsidR="008F17F2" w:rsidRDefault="008F17F2" w:rsidP="000934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sp.urman@inbox.ru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7F2" w:rsidRDefault="008F17F2" w:rsidP="0009342F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7F2" w:rsidRDefault="008F17F2" w:rsidP="0009342F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17F2" w:rsidRDefault="008F17F2" w:rsidP="000934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8F17F2" w:rsidRDefault="008F17F2" w:rsidP="000934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УРМАНСКИЙ СЕЛЬСОВЕТ   МУНИЦИПАЛЬНОГО РАЙОНА ИГЛИНСКИЙ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РЕСПУБЛИКИ  БАШКОРТОСТАН</w:t>
            </w:r>
          </w:p>
          <w:p w:rsidR="008F17F2" w:rsidRDefault="008F17F2" w:rsidP="000934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452425, с. Урман, ул. Калинина, 30</w:t>
            </w:r>
          </w:p>
          <w:p w:rsidR="008F17F2" w:rsidRDefault="008F17F2" w:rsidP="000934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8F17F2" w:rsidRDefault="008F17F2" w:rsidP="0009342F">
            <w:pPr>
              <w:pStyle w:val="a4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8F17F2" w:rsidRDefault="008F17F2" w:rsidP="008F17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eastAsia="MS Mincho" w:hAnsi="MS Mincho" w:cs="Times New Roman" w:hint="eastAsia"/>
          <w:b/>
          <w:sz w:val="28"/>
          <w:lang w:val="be-BY"/>
        </w:rPr>
        <w:t>Ҡ</w:t>
      </w:r>
      <w:r>
        <w:rPr>
          <w:rFonts w:ascii="Times New Roman" w:hAnsi="Times New Roman" w:cs="Times New Roman"/>
          <w:b/>
          <w:sz w:val="28"/>
        </w:rPr>
        <w:t>АРАР                                                                                                 РЕШЕНИЕ</w:t>
      </w:r>
    </w:p>
    <w:p w:rsidR="008F17F2" w:rsidRDefault="008F17F2" w:rsidP="008F17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F17F2" w:rsidRDefault="008F17F2" w:rsidP="008F17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Совета  сельского  поселения  Урманский  сельсовет  муниципального  района  Иглинский  район  Республики  Башкортостан  27  созыва</w:t>
      </w:r>
    </w:p>
    <w:p w:rsidR="008F17F2" w:rsidRDefault="008F17F2" w:rsidP="008F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7F2" w:rsidRPr="00CD15D9" w:rsidRDefault="008F17F2" w:rsidP="008F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 и 2019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8F17F2" w:rsidRPr="00CD15D9" w:rsidRDefault="008F17F2" w:rsidP="008F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район  Республики Башкортостан  решил: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 район 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район  Республики Башкортостан в сумме   </w:t>
      </w:r>
      <w:r>
        <w:rPr>
          <w:rFonts w:ascii="Times New Roman" w:eastAsia="Times New Roman" w:hAnsi="Times New Roman" w:cs="Times New Roman"/>
          <w:sz w:val="28"/>
          <w:szCs w:val="28"/>
        </w:rPr>
        <w:t>3626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2) общий объем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район  Республики Башкортостан в сумме  </w:t>
      </w:r>
      <w:r>
        <w:rPr>
          <w:rFonts w:ascii="Times New Roman" w:eastAsia="Times New Roman" w:hAnsi="Times New Roman" w:cs="Times New Roman"/>
          <w:sz w:val="28"/>
          <w:szCs w:val="28"/>
        </w:rPr>
        <w:t>3626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2.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годов: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 1) прогнозируемый общий объем доходов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3631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3639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  2) общий объем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3631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 в  том числе условно утвержденные расходы  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61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тыс.рублей,   и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3639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тыс. рублей , в том числе  условно утвержденные расходы 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123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тыс.рублей.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 муниципальные  унитарные предприятия, созданные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Республики Башкортостан, производят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отчисления в бюджет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 район Республики Башкортостан.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при зачислении в бюджет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2). Утвердить перечень главных администраторов источников финансирования дефицита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 Решению.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6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. Установить поступления доходов в бюджет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 сельсовет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о района  Иглинский район Республики Башкортостан: </w:t>
      </w:r>
    </w:p>
    <w:p w:rsidR="008F17F2" w:rsidRPr="00CD15D9" w:rsidRDefault="008F17F2" w:rsidP="008F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1)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 Решению; </w:t>
      </w:r>
    </w:p>
    <w:p w:rsidR="008F17F2" w:rsidRPr="00CD15D9" w:rsidRDefault="008F17F2" w:rsidP="008F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2)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. Обслуживание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8F17F2" w:rsidRPr="00CD15D9" w:rsidRDefault="008F17F2" w:rsidP="008F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Средства, поступающие во временное распоряжение получателей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 учитываются на счете, открытом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управлением 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. 1. Утвердить в пределах общего объема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район  Республики Башкортостан :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   1)  по разделам и подразделам, целевым статьям  (муниципальным программным направлениям деятельности),группам видов расходов классификации расходов бюджетов: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а)на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б)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    2 по целевым статьям  (муниципальным программным направлениям деятельности),группам видов расходов классификации расходов бюджетов: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а)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к настоящему Решению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б)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 xml:space="preserve">8 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   3. Утвердить ведомственную структуру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район  Республики Башкортостан: 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1)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9к настоящему Решению; 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2)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 годов согласно приложению 10 к настоящему Решению.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.1.  Установить, что субсидии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годах из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) на иные цели.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lastRenderedPageBreak/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12) общественным и государственно-общественным организациям,обеспечивающим взаимодействие и координацию сотрудничества с ЮНЕСКО. 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. 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год, и плановыйпериод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 – 2019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годов,а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2). Проекты решений и иных нормативных правовых актов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3)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не вправе принимать решения, приводящие к увеличению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годах численности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Иглинский район и работников организаций бюджетной сферы.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. Списать в порядке, установленном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в случаях: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1) ликвидации организаций и пре</w:t>
      </w:r>
      <w:bookmarkStart w:id="0" w:name="_GoBack"/>
      <w:bookmarkEnd w:id="0"/>
      <w:r w:rsidRPr="00CD15D9">
        <w:rPr>
          <w:rFonts w:ascii="Times New Roman" w:eastAsia="Times New Roman" w:hAnsi="Times New Roman" w:cs="Times New Roman"/>
          <w:sz w:val="28"/>
          <w:szCs w:val="28"/>
        </w:rPr>
        <w:t>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года несостоятельными (банкротами);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остатки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Иглинский район Республики Башкортостан по состоянию на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текущего финансовогогода направляются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покрытие временных кассовых разрывов, возникающих в ходе исполнения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 Республики Башкортостан.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.  Установить в соответствии с пунктом 3 статьи 217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Башкортостан: 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2) принятие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3) использование остатков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Урманский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. Настоящее  решение вступает в силу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F17F2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.Контроль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r>
        <w:rPr>
          <w:rFonts w:ascii="Times New Roman" w:eastAsia="Times New Roman" w:hAnsi="Times New Roman" w:cs="Times New Roman"/>
          <w:sz w:val="28"/>
          <w:szCs w:val="28"/>
        </w:rPr>
        <w:t>Тангатаров Б.Ф.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17F2" w:rsidRPr="00CD15D9" w:rsidRDefault="008F17F2" w:rsidP="008F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F2" w:rsidRPr="00CD15D9" w:rsidRDefault="008F17F2" w:rsidP="008F17F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CD15D9">
        <w:rPr>
          <w:rFonts w:ascii="Times New Roman" w:eastAsia="Times New Roman" w:hAnsi="Times New Roman" w:cs="Times New Roman"/>
          <w:sz w:val="28"/>
          <w:szCs w:val="20"/>
        </w:rPr>
        <w:t xml:space="preserve">Глава сельского поселения </w:t>
      </w:r>
    </w:p>
    <w:p w:rsidR="008F17F2" w:rsidRPr="00CD15D9" w:rsidRDefault="008F17F2" w:rsidP="008F17F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сельсовет</w:t>
      </w:r>
    </w:p>
    <w:p w:rsidR="008F17F2" w:rsidRPr="00CD15D9" w:rsidRDefault="008F17F2" w:rsidP="008F17F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CD15D9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Иглинский район </w:t>
      </w:r>
    </w:p>
    <w:p w:rsidR="008F17F2" w:rsidRPr="00CD15D9" w:rsidRDefault="008F17F2" w:rsidP="008F17F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Р.Б.Калкаманов</w:t>
      </w:r>
    </w:p>
    <w:p w:rsidR="008F17F2" w:rsidRPr="00CD15D9" w:rsidRDefault="008F17F2" w:rsidP="008F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декабря 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</w:p>
    <w:p w:rsidR="008F17F2" w:rsidRPr="00CD15D9" w:rsidRDefault="008F17F2" w:rsidP="008F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131</w:t>
      </w:r>
    </w:p>
    <w:p w:rsidR="008F17F2" w:rsidRDefault="008F17F2" w:rsidP="008F17F2"/>
    <w:p w:rsidR="008F17F2" w:rsidRDefault="008F17F2" w:rsidP="008F17F2"/>
    <w:p w:rsidR="00C65156" w:rsidRDefault="00C65156"/>
    <w:sectPr w:rsidR="00C65156" w:rsidSect="0010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F17F2"/>
    <w:rsid w:val="008F17F2"/>
    <w:rsid w:val="00C6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7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Без интервала Знак"/>
    <w:link w:val="a4"/>
    <w:uiPriority w:val="99"/>
    <w:locked/>
    <w:rsid w:val="008F17F2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99"/>
    <w:qFormat/>
    <w:rsid w:val="008F1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2621</Words>
  <Characters>14941</Characters>
  <Application>Microsoft Office Word</Application>
  <DocSecurity>0</DocSecurity>
  <Lines>124</Lines>
  <Paragraphs>35</Paragraphs>
  <ScaleCrop>false</ScaleCrop>
  <Company>SE7EN TEAMS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2016-12-21T12:27:00Z</dcterms:created>
  <dcterms:modified xsi:type="dcterms:W3CDTF">2016-12-21T12:28:00Z</dcterms:modified>
</cp:coreProperties>
</file>