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Ind w:w="-638" w:type="dxa"/>
        <w:tblLayout w:type="fixed"/>
        <w:tblLook w:val="04A0"/>
      </w:tblPr>
      <w:tblGrid>
        <w:gridCol w:w="4838"/>
        <w:gridCol w:w="1595"/>
        <w:gridCol w:w="4667"/>
      </w:tblGrid>
      <w:tr w:rsidR="005E62CA" w:rsidRPr="005E62CA" w:rsidTr="009F4F0B">
        <w:trPr>
          <w:jc w:val="center"/>
        </w:trPr>
        <w:tc>
          <w:tcPr>
            <w:tcW w:w="4838" w:type="dxa"/>
            <w:tcBorders>
              <w:top w:val="nil"/>
              <w:left w:val="nil"/>
              <w:bottom w:val="single" w:sz="4" w:space="0" w:color="auto"/>
              <w:right w:val="nil"/>
            </w:tcBorders>
          </w:tcPr>
          <w:p w:rsidR="005E62CA" w:rsidRPr="00406E46" w:rsidRDefault="005E62CA" w:rsidP="009F4F0B">
            <w:pPr>
              <w:pStyle w:val="a5"/>
              <w:jc w:val="center"/>
              <w:rPr>
                <w:rFonts w:ascii="Times New Roman" w:hAnsi="Times New Roman"/>
                <w:sz w:val="24"/>
                <w:szCs w:val="24"/>
              </w:rPr>
            </w:pPr>
            <w:r w:rsidRPr="00406E46">
              <w:rPr>
                <w:rFonts w:ascii="Times New Roman" w:hAnsi="Times New Roman"/>
                <w:sz w:val="24"/>
                <w:szCs w:val="24"/>
              </w:rPr>
              <w:t>БАШ</w:t>
            </w:r>
            <w:r w:rsidRPr="00406E46">
              <w:rPr>
                <w:rFonts w:ascii="Times New Roman" w:eastAsia="MS Mincho" w:hAnsi="MS Mincho"/>
                <w:sz w:val="24"/>
                <w:szCs w:val="24"/>
                <w:lang w:val="be-BY"/>
              </w:rPr>
              <w:t>Ҡ</w:t>
            </w:r>
            <w:r w:rsidRPr="00406E46">
              <w:rPr>
                <w:rFonts w:ascii="Times New Roman" w:hAnsi="Times New Roman"/>
                <w:sz w:val="24"/>
                <w:szCs w:val="24"/>
              </w:rPr>
              <w:t>ОРТОСТАН РЕСПУБЛИКАҺЫ</w:t>
            </w:r>
          </w:p>
          <w:p w:rsidR="005E62CA" w:rsidRPr="00406E46" w:rsidRDefault="005E62CA" w:rsidP="009F4F0B">
            <w:pPr>
              <w:pStyle w:val="a5"/>
              <w:jc w:val="center"/>
              <w:rPr>
                <w:rFonts w:ascii="Times New Roman" w:hAnsi="Times New Roman"/>
                <w:sz w:val="24"/>
                <w:szCs w:val="24"/>
              </w:rPr>
            </w:pPr>
            <w:r w:rsidRPr="00406E46">
              <w:rPr>
                <w:rFonts w:ascii="Times New Roman" w:hAnsi="Times New Roman"/>
                <w:sz w:val="24"/>
                <w:szCs w:val="24"/>
              </w:rPr>
              <w:t>ИГЛИН РАЙОНЫ</w:t>
            </w:r>
            <w:r w:rsidRPr="00406E46">
              <w:rPr>
                <w:rFonts w:ascii="Times New Roman" w:hAnsi="Times New Roman"/>
                <w:sz w:val="24"/>
                <w:szCs w:val="24"/>
              </w:rPr>
              <w:br/>
              <w:t xml:space="preserve">МУНИЦИПАЛЬ РАЙОНЫНЫҢ </w:t>
            </w:r>
            <w:r w:rsidRPr="00406E46">
              <w:rPr>
                <w:rFonts w:ascii="Times New Roman" w:hAnsi="Times New Roman"/>
                <w:sz w:val="24"/>
                <w:szCs w:val="24"/>
              </w:rPr>
              <w:br/>
              <w:t>УРМАН АУЫЛ СОВЕТЫ</w:t>
            </w:r>
          </w:p>
          <w:p w:rsidR="005E62CA" w:rsidRPr="00406E46" w:rsidRDefault="005E62CA" w:rsidP="009F4F0B">
            <w:pPr>
              <w:pStyle w:val="a5"/>
              <w:jc w:val="center"/>
              <w:rPr>
                <w:rFonts w:ascii="Times New Roman" w:hAnsi="Times New Roman"/>
                <w:sz w:val="24"/>
                <w:szCs w:val="24"/>
              </w:rPr>
            </w:pPr>
            <w:r w:rsidRPr="00406E46">
              <w:rPr>
                <w:rFonts w:ascii="Times New Roman" w:hAnsi="Times New Roman"/>
                <w:sz w:val="24"/>
                <w:szCs w:val="24"/>
              </w:rPr>
              <w:t>АУЫЛ  БИЛӘМӘҺЕ  СОВЕТЫ</w:t>
            </w:r>
          </w:p>
          <w:p w:rsidR="005E62CA" w:rsidRPr="00504EE0" w:rsidRDefault="005E62CA" w:rsidP="009F4F0B">
            <w:pPr>
              <w:spacing w:after="0"/>
              <w:rPr>
                <w:rFonts w:ascii="Times New Roman" w:hAnsi="Times New Roman" w:cs="Times New Roman"/>
                <w:sz w:val="20"/>
                <w:szCs w:val="20"/>
              </w:rPr>
            </w:pPr>
            <w:r w:rsidRPr="00504EE0">
              <w:rPr>
                <w:rFonts w:ascii="Times New Roman" w:hAnsi="Times New Roman" w:cs="Times New Roman"/>
                <w:sz w:val="16"/>
                <w:szCs w:val="16"/>
              </w:rPr>
              <w:t xml:space="preserve">         </w:t>
            </w:r>
            <w:r w:rsidRPr="00504EE0">
              <w:rPr>
                <w:rFonts w:ascii="Times New Roman" w:hAnsi="Times New Roman" w:cs="Times New Roman"/>
                <w:sz w:val="20"/>
                <w:szCs w:val="20"/>
              </w:rPr>
              <w:t>452405, Урман  ауылы, Калинин урамы, 30</w:t>
            </w:r>
          </w:p>
          <w:p w:rsidR="005E62CA" w:rsidRPr="00504EE0" w:rsidRDefault="005E62CA" w:rsidP="009F4F0B">
            <w:pPr>
              <w:spacing w:after="0"/>
              <w:jc w:val="center"/>
              <w:rPr>
                <w:rFonts w:ascii="Times New Roman" w:hAnsi="Times New Roman" w:cs="Times New Roman"/>
                <w:sz w:val="20"/>
                <w:szCs w:val="20"/>
              </w:rPr>
            </w:pPr>
            <w:r w:rsidRPr="00504EE0">
              <w:rPr>
                <w:rFonts w:ascii="Times New Roman" w:hAnsi="Times New Roman" w:cs="Times New Roman"/>
                <w:sz w:val="20"/>
                <w:szCs w:val="20"/>
              </w:rPr>
              <w:t>Тел.(34795)2-61-97, факс 2-61-33</w:t>
            </w:r>
          </w:p>
          <w:p w:rsidR="005E62CA" w:rsidRPr="00406E46" w:rsidRDefault="005E62CA" w:rsidP="009F4F0B">
            <w:pPr>
              <w:pStyle w:val="a5"/>
              <w:jc w:val="center"/>
              <w:rPr>
                <w:rFonts w:ascii="Times New Roman" w:hAnsi="Times New Roman"/>
                <w:sz w:val="20"/>
                <w:szCs w:val="20"/>
                <w:lang w:val="en-US"/>
              </w:rPr>
            </w:pPr>
            <w:r w:rsidRPr="00406E46">
              <w:rPr>
                <w:rFonts w:ascii="Times New Roman" w:hAnsi="Times New Roman"/>
                <w:sz w:val="20"/>
                <w:szCs w:val="20"/>
                <w:lang w:val="en-US"/>
              </w:rPr>
              <w:t>e-mail: sp.urman@inbox.ru</w:t>
            </w:r>
          </w:p>
        </w:tc>
        <w:tc>
          <w:tcPr>
            <w:tcW w:w="1595" w:type="dxa"/>
            <w:tcBorders>
              <w:top w:val="nil"/>
              <w:left w:val="nil"/>
              <w:bottom w:val="single" w:sz="4" w:space="0" w:color="auto"/>
              <w:right w:val="nil"/>
            </w:tcBorders>
          </w:tcPr>
          <w:p w:rsidR="005E62CA" w:rsidRPr="00406E46" w:rsidRDefault="005E62CA" w:rsidP="009F4F0B">
            <w:pPr>
              <w:pStyle w:val="1"/>
              <w:rPr>
                <w:b w:val="0"/>
                <w:sz w:val="20"/>
                <w:lang w:val="en-US"/>
              </w:rPr>
            </w:pPr>
          </w:p>
          <w:p w:rsidR="005E62CA" w:rsidRPr="00406E46" w:rsidRDefault="005E62CA" w:rsidP="009F4F0B">
            <w:pPr>
              <w:pStyle w:val="1"/>
              <w:rPr>
                <w:b w:val="0"/>
                <w:sz w:val="20"/>
              </w:rPr>
            </w:pPr>
            <w:r>
              <w:rPr>
                <w:b w:val="0"/>
                <w:noProof/>
                <w:sz w:val="20"/>
              </w:rPr>
              <w:drawing>
                <wp:inline distT="0" distB="0" distL="0" distR="0">
                  <wp:extent cx="6858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85800" cy="904875"/>
                          </a:xfrm>
                          <a:prstGeom prst="rect">
                            <a:avLst/>
                          </a:prstGeom>
                          <a:noFill/>
                          <a:ln w="9525">
                            <a:noFill/>
                            <a:miter lim="800000"/>
                            <a:headEnd/>
                            <a:tailEnd/>
                          </a:ln>
                        </pic:spPr>
                      </pic:pic>
                    </a:graphicData>
                  </a:graphic>
                </wp:inline>
              </w:drawing>
            </w:r>
          </w:p>
        </w:tc>
        <w:tc>
          <w:tcPr>
            <w:tcW w:w="4667" w:type="dxa"/>
            <w:tcBorders>
              <w:top w:val="nil"/>
              <w:left w:val="nil"/>
              <w:bottom w:val="single" w:sz="4" w:space="0" w:color="auto"/>
              <w:right w:val="nil"/>
            </w:tcBorders>
          </w:tcPr>
          <w:p w:rsidR="005E62CA" w:rsidRPr="00406E46" w:rsidRDefault="005E62CA" w:rsidP="009F4F0B">
            <w:pPr>
              <w:pStyle w:val="a5"/>
              <w:jc w:val="center"/>
              <w:rPr>
                <w:rFonts w:ascii="Times New Roman" w:hAnsi="Times New Roman"/>
                <w:sz w:val="24"/>
                <w:szCs w:val="24"/>
              </w:rPr>
            </w:pPr>
            <w:r w:rsidRPr="00406E46">
              <w:rPr>
                <w:rFonts w:ascii="Times New Roman" w:hAnsi="Times New Roman"/>
                <w:sz w:val="24"/>
                <w:szCs w:val="24"/>
              </w:rPr>
              <w:t>СОВЕТ СЕЛЬСКОГО ПОСЕЛЕНИЯ</w:t>
            </w:r>
          </w:p>
          <w:p w:rsidR="005E62CA" w:rsidRPr="00406E46" w:rsidRDefault="005E62CA" w:rsidP="009F4F0B">
            <w:pPr>
              <w:pStyle w:val="a5"/>
              <w:jc w:val="center"/>
              <w:rPr>
                <w:rFonts w:ascii="Times New Roman" w:hAnsi="Times New Roman"/>
                <w:sz w:val="24"/>
                <w:szCs w:val="24"/>
              </w:rPr>
            </w:pPr>
            <w:r w:rsidRPr="00406E46">
              <w:rPr>
                <w:rFonts w:ascii="Times New Roman" w:hAnsi="Times New Roman"/>
                <w:sz w:val="24"/>
                <w:szCs w:val="24"/>
              </w:rPr>
              <w:t>УРМАНСКИЙ СЕЛЬСОВЕТ   МУНИЦИПАЛЬНОГО РАЙОНА ИГЛИНСКИЙ РАЙОН</w:t>
            </w:r>
            <w:r w:rsidRPr="00406E46">
              <w:rPr>
                <w:rFonts w:ascii="Times New Roman" w:hAnsi="Times New Roman"/>
                <w:sz w:val="24"/>
                <w:szCs w:val="24"/>
              </w:rPr>
              <w:br/>
              <w:t>РЕСПУБЛИКИ  БАШКОРТОСТАН</w:t>
            </w:r>
          </w:p>
          <w:p w:rsidR="005E62CA" w:rsidRPr="00406E46" w:rsidRDefault="005E62CA" w:rsidP="009F4F0B">
            <w:pPr>
              <w:pStyle w:val="a5"/>
              <w:jc w:val="center"/>
              <w:rPr>
                <w:rFonts w:ascii="Times New Roman" w:hAnsi="Times New Roman"/>
                <w:sz w:val="20"/>
                <w:szCs w:val="20"/>
              </w:rPr>
            </w:pPr>
            <w:r w:rsidRPr="00406E46">
              <w:rPr>
                <w:rFonts w:ascii="Times New Roman" w:hAnsi="Times New Roman"/>
                <w:sz w:val="20"/>
                <w:szCs w:val="20"/>
              </w:rPr>
              <w:t>452425, с. Урман, ул. Калинина, 30</w:t>
            </w:r>
          </w:p>
          <w:p w:rsidR="005E62CA" w:rsidRPr="00406E46" w:rsidRDefault="005E62CA" w:rsidP="009F4F0B">
            <w:pPr>
              <w:spacing w:after="0"/>
              <w:jc w:val="center"/>
              <w:rPr>
                <w:sz w:val="16"/>
                <w:szCs w:val="16"/>
              </w:rPr>
            </w:pPr>
            <w:r w:rsidRPr="00406E46">
              <w:rPr>
                <w:sz w:val="16"/>
                <w:szCs w:val="16"/>
              </w:rPr>
              <w:t>Тел.(34795)2-61-97, факс 2-61-33</w:t>
            </w:r>
          </w:p>
          <w:p w:rsidR="005E62CA" w:rsidRPr="00406E46" w:rsidRDefault="005E62CA" w:rsidP="009F4F0B">
            <w:pPr>
              <w:pStyle w:val="a5"/>
              <w:jc w:val="center"/>
              <w:rPr>
                <w:rFonts w:ascii="Times New Roman" w:hAnsi="Times New Roman"/>
                <w:sz w:val="20"/>
                <w:lang w:val="en-US"/>
              </w:rPr>
            </w:pPr>
            <w:r w:rsidRPr="00406E46">
              <w:rPr>
                <w:rFonts w:ascii="Times New Roman" w:hAnsi="Times New Roman"/>
                <w:sz w:val="18"/>
                <w:szCs w:val="18"/>
                <w:lang w:val="en-US"/>
              </w:rPr>
              <w:t>e-mail: sp.urman@inbox.ru</w:t>
            </w:r>
          </w:p>
        </w:tc>
      </w:tr>
    </w:tbl>
    <w:p w:rsidR="005E62CA" w:rsidRPr="00C302C5" w:rsidRDefault="005E62CA" w:rsidP="005E62CA">
      <w:pPr>
        <w:rPr>
          <w:b/>
          <w:sz w:val="28"/>
          <w:szCs w:val="28"/>
        </w:rPr>
      </w:pPr>
      <w:r w:rsidRPr="00C302C5">
        <w:rPr>
          <w:b/>
          <w:sz w:val="28"/>
          <w:szCs w:val="28"/>
          <w:lang w:val="en-US"/>
        </w:rPr>
        <w:t xml:space="preserve"> </w:t>
      </w:r>
      <w:r w:rsidRPr="00C302C5">
        <w:rPr>
          <w:rFonts w:ascii="Times New Roman" w:eastAsia="MS Mincho" w:hAnsi="MS Mincho" w:cs="Times New Roman"/>
          <w:b/>
          <w:sz w:val="28"/>
          <w:szCs w:val="28"/>
          <w:lang w:val="be-BY"/>
        </w:rPr>
        <w:t>Ҡ</w:t>
      </w:r>
      <w:r w:rsidRPr="00C302C5">
        <w:rPr>
          <w:rFonts w:ascii="Times New Roman" w:hAnsi="Times New Roman" w:cs="Times New Roman"/>
          <w:b/>
          <w:sz w:val="28"/>
          <w:szCs w:val="28"/>
        </w:rPr>
        <w:t>АРАР                                                                                            РЕШЕНИЕ</w:t>
      </w:r>
    </w:p>
    <w:p w:rsidR="005E62CA" w:rsidRPr="00C302C5" w:rsidRDefault="005E62CA" w:rsidP="005E62CA">
      <w:pPr>
        <w:jc w:val="center"/>
        <w:rPr>
          <w:rFonts w:ascii="Times New Roman" w:hAnsi="Times New Roman" w:cs="Times New Roman"/>
          <w:b/>
          <w:sz w:val="28"/>
          <w:szCs w:val="28"/>
        </w:rPr>
      </w:pPr>
      <w:r w:rsidRPr="00C302C5">
        <w:rPr>
          <w:rFonts w:ascii="Times New Roman" w:hAnsi="Times New Roman" w:cs="Times New Roman"/>
          <w:b/>
          <w:sz w:val="28"/>
          <w:szCs w:val="28"/>
        </w:rPr>
        <w:t>Совета  сельского  поселения  Урманский  сельсовет  муниципального  района  Иглинский  район  Республики  Башкортостан  27  созыва</w:t>
      </w:r>
    </w:p>
    <w:p w:rsidR="005E62CA" w:rsidRPr="00C302C5" w:rsidRDefault="005E62CA" w:rsidP="005E62CA">
      <w:pPr>
        <w:spacing w:after="0"/>
        <w:jc w:val="center"/>
        <w:rPr>
          <w:rFonts w:ascii="Times New Roman" w:hAnsi="Times New Roman" w:cs="Times New Roman"/>
          <w:b/>
          <w:sz w:val="28"/>
          <w:szCs w:val="28"/>
        </w:rPr>
      </w:pPr>
      <w:r w:rsidRPr="00C302C5">
        <w:rPr>
          <w:rFonts w:ascii="Times New Roman" w:hAnsi="Times New Roman" w:cs="Times New Roman"/>
          <w:b/>
          <w:sz w:val="28"/>
          <w:szCs w:val="28"/>
        </w:rPr>
        <w:t>«Об утверждении Правил благоустройства, озеленения,</w:t>
      </w:r>
    </w:p>
    <w:p w:rsidR="005E62CA" w:rsidRPr="00C302C5" w:rsidRDefault="005E62CA" w:rsidP="005E62CA">
      <w:pPr>
        <w:spacing w:after="0"/>
        <w:jc w:val="center"/>
        <w:rPr>
          <w:rFonts w:ascii="Times New Roman" w:hAnsi="Times New Roman" w:cs="Times New Roman"/>
          <w:b/>
          <w:sz w:val="28"/>
          <w:szCs w:val="28"/>
        </w:rPr>
      </w:pPr>
      <w:r w:rsidRPr="00C302C5">
        <w:rPr>
          <w:rFonts w:ascii="Times New Roman" w:hAnsi="Times New Roman" w:cs="Times New Roman"/>
          <w:b/>
          <w:sz w:val="28"/>
          <w:szCs w:val="28"/>
        </w:rPr>
        <w:t>обеспечения чистоты и порядка на территории сельского  поселения   Урманский сельсовет  муниципального  района  Иглинский  район  Республики  Башкортостан»</w:t>
      </w:r>
    </w:p>
    <w:p w:rsidR="005E62CA" w:rsidRPr="00C302C5" w:rsidRDefault="005E62CA" w:rsidP="005E62CA">
      <w:pPr>
        <w:rPr>
          <w:rFonts w:ascii="Times New Roman" w:hAnsi="Times New Roman" w:cs="Times New Roman"/>
          <w:b/>
          <w:sz w:val="28"/>
          <w:szCs w:val="28"/>
        </w:rPr>
      </w:pPr>
    </w:p>
    <w:p w:rsidR="005E62CA" w:rsidRPr="00C302C5" w:rsidRDefault="005E62CA" w:rsidP="005E62CA">
      <w:pPr>
        <w:jc w:val="both"/>
        <w:rPr>
          <w:rFonts w:ascii="Times New Roman" w:hAnsi="Times New Roman" w:cs="Times New Roman"/>
          <w:sz w:val="28"/>
          <w:szCs w:val="28"/>
        </w:rPr>
      </w:pPr>
      <w:r w:rsidRPr="00C302C5">
        <w:rPr>
          <w:rFonts w:ascii="Times New Roman" w:hAnsi="Times New Roman" w:cs="Times New Roman"/>
          <w:sz w:val="28"/>
          <w:szCs w:val="28"/>
        </w:rPr>
        <w:t xml:space="preserve">       Во исполнение Федерального закона № 131-ФЗ от 6.10.2003г. «Об общих принципах организации местного самоуправления в Российской Федерации», Совет сельского поселения Урманский сельсовет муниципального района Иглинский район Республики Башкортостан решил:</w:t>
      </w:r>
    </w:p>
    <w:p w:rsidR="005E62CA" w:rsidRPr="00C302C5" w:rsidRDefault="005E62CA" w:rsidP="005E62CA">
      <w:pPr>
        <w:numPr>
          <w:ilvl w:val="0"/>
          <w:numId w:val="1"/>
        </w:numPr>
        <w:spacing w:after="0" w:line="240" w:lineRule="auto"/>
        <w:ind w:left="426"/>
        <w:jc w:val="both"/>
        <w:rPr>
          <w:rFonts w:ascii="Times New Roman" w:hAnsi="Times New Roman" w:cs="Times New Roman"/>
          <w:sz w:val="28"/>
          <w:szCs w:val="28"/>
        </w:rPr>
      </w:pPr>
      <w:r w:rsidRPr="00C302C5">
        <w:rPr>
          <w:rFonts w:ascii="Times New Roman" w:hAnsi="Times New Roman" w:cs="Times New Roman"/>
          <w:sz w:val="28"/>
          <w:szCs w:val="28"/>
        </w:rPr>
        <w:t>Принять проект решения «Об утверждении Правил благоустройства, озеленения, обеспечения чистоты и порядка на территории сельского  поселения   Урманский сельсовет  муниципального  района  Иглинский  район  Республики  Башкортостан (Прилагается).</w:t>
      </w:r>
    </w:p>
    <w:p w:rsidR="005E62CA" w:rsidRPr="00C302C5" w:rsidRDefault="005E62CA" w:rsidP="005E62CA">
      <w:pPr>
        <w:numPr>
          <w:ilvl w:val="0"/>
          <w:numId w:val="1"/>
        </w:numPr>
        <w:spacing w:after="0" w:line="240" w:lineRule="auto"/>
        <w:ind w:left="426"/>
        <w:jc w:val="both"/>
        <w:rPr>
          <w:rFonts w:ascii="Times New Roman" w:hAnsi="Times New Roman" w:cs="Times New Roman"/>
          <w:sz w:val="28"/>
          <w:szCs w:val="28"/>
        </w:rPr>
      </w:pPr>
      <w:r w:rsidRPr="00C302C5">
        <w:rPr>
          <w:rFonts w:ascii="Times New Roman" w:hAnsi="Times New Roman" w:cs="Times New Roman"/>
          <w:sz w:val="28"/>
          <w:szCs w:val="28"/>
        </w:rPr>
        <w:t>Обнародовать проект решения«Об утверждении Правил благоустройства, озеленения, обеспечения чистоты и порядка на территории сельского  поселения   Урманский сельсовет  муниципального  района  Иглинский  район  Республики  Башкортостан на официальном сайте и информационном стенде администрации сельского поселения Урманский сельсовет.</w:t>
      </w:r>
    </w:p>
    <w:p w:rsidR="005E62CA" w:rsidRPr="00C302C5" w:rsidRDefault="005E62CA" w:rsidP="005E62CA">
      <w:pPr>
        <w:numPr>
          <w:ilvl w:val="0"/>
          <w:numId w:val="1"/>
        </w:numPr>
        <w:spacing w:after="0" w:line="240" w:lineRule="auto"/>
        <w:ind w:left="426"/>
        <w:jc w:val="both"/>
        <w:rPr>
          <w:rFonts w:ascii="Times New Roman" w:hAnsi="Times New Roman" w:cs="Times New Roman"/>
          <w:sz w:val="28"/>
          <w:szCs w:val="28"/>
        </w:rPr>
      </w:pPr>
      <w:r w:rsidRPr="00C302C5">
        <w:rPr>
          <w:rFonts w:ascii="Times New Roman" w:hAnsi="Times New Roman" w:cs="Times New Roman"/>
          <w:sz w:val="28"/>
          <w:szCs w:val="28"/>
        </w:rPr>
        <w:t>Контроль за исполнением настоящего решения возложить на Постоянную комиссию Совета по земельным вопросам, благоустройству и экологии (председатель Калимуллин А.Х).</w:t>
      </w:r>
    </w:p>
    <w:p w:rsidR="005E62CA" w:rsidRPr="00C302C5" w:rsidRDefault="005E62CA" w:rsidP="005E62CA">
      <w:pPr>
        <w:jc w:val="both"/>
        <w:rPr>
          <w:rFonts w:ascii="Times New Roman" w:hAnsi="Times New Roman" w:cs="Times New Roman"/>
          <w:b/>
          <w:sz w:val="28"/>
          <w:szCs w:val="28"/>
        </w:rPr>
      </w:pPr>
    </w:p>
    <w:p w:rsidR="005E62CA" w:rsidRPr="00C302C5" w:rsidRDefault="005E62CA" w:rsidP="005E62CA">
      <w:pPr>
        <w:pStyle w:val="a3"/>
        <w:rPr>
          <w:szCs w:val="28"/>
        </w:rPr>
      </w:pPr>
    </w:p>
    <w:p w:rsidR="005E62CA" w:rsidRPr="00C302C5" w:rsidRDefault="005E62CA" w:rsidP="005E62CA">
      <w:pPr>
        <w:pStyle w:val="3"/>
        <w:ind w:firstLine="0"/>
        <w:rPr>
          <w:szCs w:val="28"/>
        </w:rPr>
      </w:pPr>
      <w:r w:rsidRPr="00C302C5">
        <w:rPr>
          <w:szCs w:val="28"/>
        </w:rPr>
        <w:t>Глава сельского поселения:                                                   Р.Б. Калкаманов</w:t>
      </w:r>
    </w:p>
    <w:p w:rsidR="005E62CA" w:rsidRPr="00C302C5" w:rsidRDefault="005E62CA" w:rsidP="005E62CA">
      <w:pPr>
        <w:ind w:left="5387"/>
        <w:rPr>
          <w:rFonts w:ascii="Times New Roman" w:hAnsi="Times New Roman" w:cs="Times New Roman"/>
          <w:color w:val="000000"/>
          <w:sz w:val="28"/>
          <w:szCs w:val="28"/>
        </w:rPr>
      </w:pPr>
    </w:p>
    <w:p w:rsidR="005E62CA" w:rsidRPr="00C302C5" w:rsidRDefault="005E62CA" w:rsidP="005E62CA">
      <w:pPr>
        <w:rPr>
          <w:rFonts w:ascii="Times New Roman" w:hAnsi="Times New Roman" w:cs="Times New Roman"/>
          <w:color w:val="000000"/>
          <w:sz w:val="28"/>
          <w:szCs w:val="28"/>
        </w:rPr>
      </w:pPr>
      <w:r w:rsidRPr="00C302C5">
        <w:rPr>
          <w:rFonts w:ascii="Times New Roman" w:hAnsi="Times New Roman" w:cs="Times New Roman"/>
          <w:color w:val="000000"/>
          <w:sz w:val="28"/>
          <w:szCs w:val="28"/>
        </w:rPr>
        <w:t>20.10.2017г</w:t>
      </w:r>
    </w:p>
    <w:p w:rsidR="005E62CA" w:rsidRDefault="005E62CA" w:rsidP="005E62CA">
      <w:pPr>
        <w:rPr>
          <w:rFonts w:ascii="Times New Roman" w:hAnsi="Times New Roman" w:cs="Times New Roman"/>
          <w:color w:val="000000"/>
          <w:sz w:val="28"/>
          <w:szCs w:val="28"/>
        </w:rPr>
      </w:pPr>
      <w:r w:rsidRPr="00C302C5">
        <w:rPr>
          <w:rFonts w:ascii="Times New Roman" w:hAnsi="Times New Roman" w:cs="Times New Roman"/>
          <w:color w:val="000000"/>
          <w:sz w:val="28"/>
          <w:szCs w:val="28"/>
        </w:rPr>
        <w:t>№ 1</w:t>
      </w:r>
      <w:r>
        <w:rPr>
          <w:rFonts w:ascii="Times New Roman" w:hAnsi="Times New Roman" w:cs="Times New Roman"/>
          <w:color w:val="000000"/>
          <w:sz w:val="28"/>
          <w:szCs w:val="28"/>
        </w:rPr>
        <w:t>91</w:t>
      </w:r>
    </w:p>
    <w:p w:rsidR="005E62CA" w:rsidRPr="00C302C5" w:rsidRDefault="005E62CA" w:rsidP="005E62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C302C5">
        <w:rPr>
          <w:rFonts w:ascii="Times New Roman" w:hAnsi="Times New Roman" w:cs="Times New Roman"/>
          <w:color w:val="000000"/>
        </w:rPr>
        <w:t xml:space="preserve">  Приложение</w:t>
      </w:r>
    </w:p>
    <w:p w:rsidR="005E62CA" w:rsidRPr="00C302C5" w:rsidRDefault="005E62CA" w:rsidP="005E62CA">
      <w:pPr>
        <w:spacing w:after="0"/>
        <w:ind w:left="5387" w:hanging="35"/>
        <w:rPr>
          <w:rFonts w:ascii="Times New Roman" w:hAnsi="Times New Roman" w:cs="Times New Roman"/>
          <w:color w:val="000000"/>
        </w:rPr>
      </w:pPr>
      <w:r w:rsidRPr="00C302C5">
        <w:rPr>
          <w:rFonts w:ascii="Times New Roman" w:hAnsi="Times New Roman" w:cs="Times New Roman"/>
          <w:color w:val="000000"/>
        </w:rPr>
        <w:t xml:space="preserve">к решению Совета сельского поселения Урманский сельсовет муниципального района Иглинский район Республики Башкортостанот </w:t>
      </w:r>
      <w:r>
        <w:rPr>
          <w:rFonts w:ascii="Times New Roman" w:hAnsi="Times New Roman" w:cs="Times New Roman"/>
          <w:color w:val="000000"/>
          <w:highlight w:val="yellow"/>
        </w:rPr>
        <w:t xml:space="preserve">  «20</w:t>
      </w:r>
      <w:r w:rsidRPr="00C302C5">
        <w:rPr>
          <w:rFonts w:ascii="Times New Roman" w:hAnsi="Times New Roman" w:cs="Times New Roman"/>
          <w:color w:val="000000"/>
          <w:highlight w:val="yellow"/>
        </w:rPr>
        <w:t xml:space="preserve">»   </w:t>
      </w:r>
      <w:r>
        <w:rPr>
          <w:rFonts w:ascii="Times New Roman" w:hAnsi="Times New Roman" w:cs="Times New Roman"/>
          <w:color w:val="000000"/>
          <w:highlight w:val="yellow"/>
        </w:rPr>
        <w:t>10</w:t>
      </w:r>
      <w:r w:rsidRPr="00C302C5">
        <w:rPr>
          <w:rFonts w:ascii="Times New Roman" w:hAnsi="Times New Roman" w:cs="Times New Roman"/>
          <w:color w:val="000000"/>
          <w:highlight w:val="yellow"/>
        </w:rPr>
        <w:t xml:space="preserve">             2017 г. </w:t>
      </w:r>
      <w:r w:rsidRPr="00C302C5">
        <w:rPr>
          <w:rFonts w:ascii="Times New Roman" w:hAnsi="Times New Roman" w:cs="Times New Roman"/>
          <w:color w:val="000000"/>
        </w:rPr>
        <w:t>№</w:t>
      </w:r>
      <w:r>
        <w:rPr>
          <w:rFonts w:ascii="Times New Roman" w:hAnsi="Times New Roman" w:cs="Times New Roman"/>
          <w:color w:val="000000"/>
        </w:rPr>
        <w:t>191</w:t>
      </w:r>
    </w:p>
    <w:p w:rsidR="005E62CA" w:rsidRDefault="005E62CA" w:rsidP="005E62CA">
      <w:pPr>
        <w:pStyle w:val="a5"/>
        <w:ind w:left="5529"/>
        <w:rPr>
          <w:rFonts w:ascii="Times New Roman" w:hAnsi="Times New Roman"/>
          <w:sz w:val="24"/>
          <w:szCs w:val="24"/>
        </w:rPr>
      </w:pPr>
    </w:p>
    <w:p w:rsidR="005E62CA" w:rsidRDefault="005E62CA" w:rsidP="005E62CA">
      <w:pPr>
        <w:jc w:val="center"/>
        <w:rPr>
          <w:rFonts w:ascii="Times New Roman" w:hAnsi="Times New Roman" w:cs="Times New Roman"/>
          <w:sz w:val="28"/>
          <w:szCs w:val="28"/>
        </w:rPr>
      </w:pPr>
    </w:p>
    <w:p w:rsidR="005E62CA" w:rsidRPr="006235D0" w:rsidRDefault="005E62CA" w:rsidP="005E62CA">
      <w:pPr>
        <w:spacing w:after="0"/>
        <w:jc w:val="center"/>
        <w:rPr>
          <w:rFonts w:ascii="Times New Roman" w:hAnsi="Times New Roman" w:cs="Times New Roman"/>
          <w:sz w:val="28"/>
          <w:szCs w:val="28"/>
        </w:rPr>
      </w:pPr>
      <w:r w:rsidRPr="006235D0">
        <w:rPr>
          <w:rFonts w:ascii="Times New Roman" w:hAnsi="Times New Roman" w:cs="Times New Roman"/>
          <w:sz w:val="28"/>
          <w:szCs w:val="28"/>
        </w:rPr>
        <w:t>ПРАВИЛА БЛАГОУСТРОЙСТВА, ОЗЕЛЕНЕНИЯ,</w:t>
      </w:r>
    </w:p>
    <w:p w:rsidR="005E62CA" w:rsidRPr="006235D0" w:rsidRDefault="005E62CA" w:rsidP="005E62CA">
      <w:pPr>
        <w:spacing w:after="0"/>
        <w:jc w:val="center"/>
        <w:rPr>
          <w:rFonts w:ascii="Times New Roman" w:hAnsi="Times New Roman" w:cs="Times New Roman"/>
          <w:sz w:val="28"/>
          <w:szCs w:val="28"/>
        </w:rPr>
      </w:pPr>
      <w:r w:rsidRPr="006235D0">
        <w:rPr>
          <w:rFonts w:ascii="Times New Roman" w:hAnsi="Times New Roman" w:cs="Times New Roman"/>
          <w:sz w:val="28"/>
          <w:szCs w:val="28"/>
        </w:rPr>
        <w:t>ОБЕСПЕЧЕНИЯ ЧИСТОТЫ И ПОРЯДКА НА ТЕРРИТОРИИ СЕЛЬСКОГО  ПОСЕЛЕНИЯ   УРМАНСКИЙ СЕЛЬСОВЕТ  МУНИЦИПАЛЬНОГО  РАЙОНА  ИГЛИНСКИЙ  РАЙОН  РЕСПУБЛИКИ  БАШКОРТОСТАН</w:t>
      </w:r>
    </w:p>
    <w:p w:rsidR="005E62CA" w:rsidRPr="006235D0" w:rsidRDefault="005E62CA" w:rsidP="005E62CA">
      <w:pPr>
        <w:spacing w:after="0"/>
        <w:jc w:val="both"/>
        <w:rPr>
          <w:rFonts w:ascii="Times New Roman" w:hAnsi="Times New Roman" w:cs="Times New Roman"/>
          <w:sz w:val="28"/>
          <w:szCs w:val="28"/>
        </w:rPr>
      </w:pP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 ОБЩИЕ ПОЛОЖЕНИЯ</w:t>
      </w:r>
    </w:p>
    <w:p w:rsidR="005E62CA" w:rsidRPr="006235D0" w:rsidRDefault="005E62CA" w:rsidP="005E62CA">
      <w:pPr>
        <w:spacing w:after="0"/>
        <w:jc w:val="both"/>
        <w:rPr>
          <w:rFonts w:ascii="Times New Roman" w:hAnsi="Times New Roman" w:cs="Times New Roman"/>
          <w:sz w:val="28"/>
          <w:szCs w:val="28"/>
        </w:rPr>
      </w:pP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   1.1. Настоящие Правила благоустройства, озеленения, обеспечения чистоты и порядка на территории сельского  поселения Урманский сельсовет  муниципального района  Иглинский район  Республики  Башкортостан (далее - Правила) разработаны на основе действующих  нормативных правовых актов  Российской Федерации  и  Приказа Министерства строительства и жилищно-коммунального хозяйства  Российской Федерации от 13.04.2017г.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для  повышение уровня благоустройства, санитарного содержания и уборки территории сельского  поселения Урманский сельсовет муниципального района  Иглинский район  Республики Башкортостан  (далее – поселение), а также ответственности должностных лиц и жителей сельского поселения Урманский сельсовет муниципального района Иглинский район Республики Башкортостан  за их выполнение.</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1.2. 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 1.3. Настоящие Правила обязательны для исполнения также всеми юридическими лицами, индивидуальными предпринимателями, </w:t>
      </w:r>
      <w:r w:rsidRPr="006235D0">
        <w:rPr>
          <w:rFonts w:ascii="Times New Roman" w:hAnsi="Times New Roman" w:cs="Times New Roman"/>
          <w:sz w:val="28"/>
          <w:szCs w:val="28"/>
        </w:rPr>
        <w:lastRenderedPageBreak/>
        <w:t>осуществляющими хозяйственную и иную деятельность, а также физическими лицами, проживающими и находящимися на территории сельского  поселения  Урманский  сельсовет  муниципального района  Иглинский  район  Республики   Башкортостан.</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1.4. На территории сельского поселения Урманский сельсовет  муниципального района  Иглинский  район  Республики   Башкортостан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всоответствии с действующим законодательством РФ, используются в соответствии: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с целевым назначением земельных участков, которые устанавливаются Генеральным планом муниципального района  Иглинский район  Республики Башкортостан,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с установленными в соответствии с действующим земельным законодательством режимами использования земель;</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с зарегистрированными правами на объекты и земельные участки;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-с зарегистрированными сервитутами (правами ограниченного пользования земельными участками);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с заключенными договорами;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с охранными обязательствами по содержанию памятников истории и культуры;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с соблюдением иных требований, предусмотренных законодательными актами Российской Федерации.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lastRenderedPageBreak/>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1.7.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1.8. Основными задачами настоящих Правил являются: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а) обеспечение формирования единого облика поселения;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б) обеспечение создания, содержания и развития объектов благоустройства поселения;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г) обеспечение сохранности объектов благоустройства поселения;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д) обеспечение комфортного и безопасного проживания граждан.</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1.9. Правовое регулирование отношений в сфере благоустройства поселения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1.9.1.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1.9.2.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Республики Башкортостан.</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1.9.3.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1.9.4.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lastRenderedPageBreak/>
        <w:t>1.9.5.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1.9.6. За нарушение настоящих Правил виновные лица несут административную ответственность, установленную законодательством.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1.10. Основные понятия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В целях настоящих Правил используются следующие основные понятия: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w:t>
      </w:r>
      <w:r w:rsidRPr="006235D0">
        <w:rPr>
          <w:rFonts w:ascii="Times New Roman" w:hAnsi="Times New Roman" w:cs="Times New Roman"/>
          <w:sz w:val="28"/>
          <w:szCs w:val="28"/>
        </w:rPr>
        <w:lastRenderedPageBreak/>
        <w:t>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дендроплан –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lastRenderedPageBreak/>
        <w:t>компенсационное озеленение – воспроизводство зеленых насаждений взамен уничтоженных или поврежденных;</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w:t>
      </w:r>
      <w:r w:rsidRPr="006235D0">
        <w:rPr>
          <w:rFonts w:ascii="Times New Roman" w:hAnsi="Times New Roman" w:cs="Times New Roman"/>
          <w:sz w:val="28"/>
          <w:szCs w:val="28"/>
        </w:rPr>
        <w:lastRenderedPageBreak/>
        <w:t>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бункер-накопитель – мусоросборник, предназначенный для складирования крупногабаритных отходов;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lastRenderedPageBreak/>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санитарная очистка территории – зачистка территорий, сбор, вывоз и утилизация (обезвреживание) мусора;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lastRenderedPageBreak/>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отлов безнадзорных животных – мероприятия по регулированию численности безнадзорных животных.</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Иные понятия, используемые в настоящих Правилах, употребляются в значениях, определенных законодательством Российской Федерации.</w:t>
      </w:r>
    </w:p>
    <w:p w:rsidR="005E62CA" w:rsidRPr="006235D0" w:rsidRDefault="005E62CA" w:rsidP="005E62CA">
      <w:pPr>
        <w:spacing w:after="0"/>
        <w:jc w:val="both"/>
        <w:rPr>
          <w:rFonts w:ascii="Times New Roman" w:hAnsi="Times New Roman" w:cs="Times New Roman"/>
          <w:sz w:val="28"/>
          <w:szCs w:val="28"/>
        </w:rPr>
      </w:pP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 ОБЩЕСТВЕННОЕ УЧАСТИЕ В ДЕЯТЕЛЬНОСТИ ПО БЛАГОУСТРОЙСТВУ</w:t>
      </w:r>
    </w:p>
    <w:p w:rsidR="005E62CA" w:rsidRPr="006235D0" w:rsidRDefault="005E62CA" w:rsidP="005E62CA">
      <w:pPr>
        <w:spacing w:after="0"/>
        <w:jc w:val="both"/>
        <w:rPr>
          <w:rFonts w:ascii="Times New Roman" w:hAnsi="Times New Roman" w:cs="Times New Roman"/>
          <w:sz w:val="28"/>
          <w:szCs w:val="28"/>
        </w:rPr>
      </w:pP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2.1. Участники деятельности по благоустройству</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2.1.1. Участниками деятельности по благоустройству могут выступать:</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е) иные лица.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w:t>
      </w:r>
      <w:r w:rsidRPr="006235D0">
        <w:rPr>
          <w:rFonts w:ascii="Times New Roman" w:hAnsi="Times New Roman" w:cs="Times New Roman"/>
          <w:sz w:val="28"/>
          <w:szCs w:val="28"/>
        </w:rPr>
        <w:lastRenderedPageBreak/>
        <w:t>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2.2. Порядок общественного участия в деятельности по благоустройству.</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3: рассмотрение созданных вариантов с вовлечением всех заинтересованных лиц, имеющих отношение к данной территории и данному вопросу;</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4: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lastRenderedPageBreak/>
        <w:t>4) консультации с экспертами в выборе типов покрытий, с учетом функционального зонирования территории;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5) консультации с экспертами по предполагаемым типам озеленения;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6) консультации с экспертами по предполагаемым типам освещения и осветительного оборудования;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w:t>
      </w:r>
      <w:r w:rsidRPr="006235D0">
        <w:rPr>
          <w:rFonts w:ascii="Times New Roman" w:hAnsi="Times New Roman" w:cs="Times New Roman"/>
          <w:sz w:val="28"/>
          <w:szCs w:val="28"/>
        </w:rPr>
        <w:lastRenderedPageBreak/>
        <w:t>площадке проведения общественных обсуждений (в зоне входной группы, на специальных информационных стендах);</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5) индивидуальных приглашений участников встречи лично, по электронной почте или по телефону;</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2.3. Механизмы общественного участия в деятельности по благоустройству.</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2.3.1. К механизмам общественного участия в деятельности по благоустройству относятся: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 общественный контроль.</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Республики </w:t>
      </w:r>
      <w:r w:rsidRPr="006235D0">
        <w:rPr>
          <w:rFonts w:ascii="Times New Roman" w:hAnsi="Times New Roman" w:cs="Times New Roman"/>
          <w:sz w:val="28"/>
          <w:szCs w:val="28"/>
        </w:rPr>
        <w:lastRenderedPageBreak/>
        <w:t>Башкортостан,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2.4.2. Участие лиц, осуществляющих предпринимательскую деятельность, в реализации комплексных проектов благоустройства может заключаться: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в) в строительстве, реконструкции, реставрации объектов недвижимости;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г) в производстве или размещении элементов благоустройства;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з) в иных формах.</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w:t>
      </w:r>
      <w:r w:rsidRPr="006235D0">
        <w:rPr>
          <w:rFonts w:ascii="Times New Roman" w:hAnsi="Times New Roman" w:cs="Times New Roman"/>
          <w:sz w:val="28"/>
          <w:szCs w:val="28"/>
        </w:rPr>
        <w:lastRenderedPageBreak/>
        <w:t>общественного питания, оказания туристических услуг, оказания услуг в сфере образования и культуры.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E62CA" w:rsidRPr="006235D0" w:rsidRDefault="005E62CA" w:rsidP="005E62CA">
      <w:pPr>
        <w:spacing w:after="0"/>
        <w:jc w:val="both"/>
        <w:rPr>
          <w:rFonts w:ascii="Times New Roman" w:hAnsi="Times New Roman" w:cs="Times New Roman"/>
          <w:sz w:val="28"/>
          <w:szCs w:val="28"/>
        </w:rPr>
      </w:pPr>
    </w:p>
    <w:p w:rsidR="005E62CA" w:rsidRPr="006235D0" w:rsidRDefault="005E62CA" w:rsidP="005E62CA">
      <w:pPr>
        <w:spacing w:after="0"/>
        <w:rPr>
          <w:rFonts w:ascii="Times New Roman" w:hAnsi="Times New Roman" w:cs="Times New Roman"/>
          <w:sz w:val="28"/>
          <w:szCs w:val="28"/>
        </w:rPr>
      </w:pPr>
      <w:r w:rsidRPr="006235D0">
        <w:rPr>
          <w:rFonts w:ascii="Times New Roman" w:hAnsi="Times New Roman" w:cs="Times New Roman"/>
          <w:sz w:val="28"/>
          <w:szCs w:val="28"/>
        </w:rPr>
        <w:t>3. ТРЕБОВАНИЯ К ОБЪЕКТАМ И ЭЛЕМЕНТАМ БЛАГОУСТРОЙСТВА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детские площадки, спортивные и другие площадки отдыха и досуга;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площадки для выгула животных;</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площадки для дрессировки собак;</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площадки автостоянок;</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улицы (в том числе пешеходные) и дороги;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парки, скверы, иные зеленые зоны;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площади, набережные и другие территории;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технические зоны транспортных, инженерных коммуникаций, водоохранные зоны;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3.4. К элементам благоустройства в настоящих Правилах относят, в том числе:</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элементы озеленения;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покрытия;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ограждения (заборы);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водные устройства;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уличное коммунально-бытовое и техническое оборудование;</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lastRenderedPageBreak/>
        <w:t>- игровое и спортивное оборудование;</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элементы освещения;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средства размещения информации и рекламные конструкции;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малые архитектурные формы и городская мебель;</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некапитальные нестационарные сооружения;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элементы объектов капитального строительства.</w:t>
      </w:r>
    </w:p>
    <w:p w:rsidR="005E62CA" w:rsidRPr="006235D0" w:rsidRDefault="005E62CA" w:rsidP="005E62CA">
      <w:pPr>
        <w:spacing w:after="0"/>
        <w:jc w:val="both"/>
        <w:rPr>
          <w:rFonts w:ascii="Times New Roman" w:hAnsi="Times New Roman" w:cs="Times New Roman"/>
          <w:sz w:val="28"/>
          <w:szCs w:val="28"/>
        </w:rPr>
      </w:pP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4. ТРЕБОВАНИЯ К ОБЕСПЕЧЕНИЮ КОМФОРТНОСТИ И  БЕЗОПАСНОСТИ ПРОЖИВАНИЯ ГРАЖДАН</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xml:space="preserve">4.1. В целях благоустройства территории сельского поселения Кудеевский сельсовет муниципального района Иглинский район Республики Башкортостан, обеспечения безопасного и комфортного проживания граждан, формирования архитектурно-художественного облика среды на территории сельского поселения </w:t>
      </w:r>
      <w:r w:rsidRPr="006235D0">
        <w:rPr>
          <w:rFonts w:ascii="Times New Roman" w:hAnsi="Times New Roman" w:cs="Times New Roman"/>
          <w:sz w:val="28"/>
          <w:szCs w:val="28"/>
        </w:rPr>
        <w:t>Урманский</w:t>
      </w:r>
      <w:r w:rsidRPr="006235D0">
        <w:rPr>
          <w:rFonts w:ascii="Times New Roman" w:hAnsi="Times New Roman" w:cs="Times New Roman"/>
          <w:spacing w:val="2"/>
          <w:sz w:val="28"/>
          <w:szCs w:val="28"/>
        </w:rPr>
        <w:t xml:space="preserve"> сельсовет муниципального района Иглинский район Республики Башкортостан 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xml:space="preserve">4.2. На территории сельского поселения </w:t>
      </w:r>
      <w:r w:rsidRPr="006235D0">
        <w:rPr>
          <w:rFonts w:ascii="Times New Roman" w:hAnsi="Times New Roman" w:cs="Times New Roman"/>
          <w:sz w:val="28"/>
          <w:szCs w:val="28"/>
        </w:rPr>
        <w:t>Урманский</w:t>
      </w:r>
      <w:r w:rsidRPr="006235D0">
        <w:rPr>
          <w:rFonts w:ascii="Times New Roman" w:hAnsi="Times New Roman" w:cs="Times New Roman"/>
          <w:spacing w:val="2"/>
          <w:sz w:val="28"/>
          <w:szCs w:val="28"/>
        </w:rPr>
        <w:t xml:space="preserve"> сельсовет муниципального района Иглинский район Республики Башкортостан необходимо применять следующие виды покрытий:</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твердые (капитальные) - монолитные или сборные, выполняемые из асфальтобетона, цементобетона, природного камня;</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мягкие (некапитальные) - выполняемые из природных или искусственных материалов;</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газонные - выполняемые по специальным технологиям подготовки и посадки травяного покрова;</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комбинированные - представляющие сочетания покрытий, указанных выше (например, плитка, утопленная в газон).</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4.3. Применяемый вид покрытия должен быть прочным, ремонтопригодным, не допускающим скольжения.</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Выбор видов покрытия следует применять в соответствии с их целевым назначением:</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xml:space="preserve">- мягких - с учетом их специфических свойств при </w:t>
      </w:r>
      <w:r w:rsidRPr="006235D0">
        <w:rPr>
          <w:rFonts w:ascii="Times New Roman" w:hAnsi="Times New Roman" w:cs="Times New Roman"/>
          <w:spacing w:val="2"/>
          <w:sz w:val="28"/>
          <w:szCs w:val="28"/>
        </w:rPr>
        <w:lastRenderedPageBreak/>
        <w:t>благоустройстве отдельных видов территорий (детских, спортивных площадок, площадок для выгула собак, прогулочных дорожек и т.п. объектов);</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газонных и комбинированных как наиболее экологичных.</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4.5. При проектировании стока поверхностных вод руководствоваться СП 32.13330.2012 «СНиП 2.04.03-85 Канализация. Наружные сети и сооружения»;</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4.7. Цветовое решение применяемого вида покрытия следует выполнять с учетом существующего состояния окружающей среды.</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4.8. На стыке тротуара и проезжей части надлежит устанавливать дорожные бортовые камни.</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сельского поселения </w:t>
      </w:r>
      <w:r w:rsidRPr="006235D0">
        <w:rPr>
          <w:rFonts w:ascii="Times New Roman" w:hAnsi="Times New Roman" w:cs="Times New Roman"/>
          <w:sz w:val="28"/>
          <w:szCs w:val="28"/>
        </w:rPr>
        <w:t>Урманский</w:t>
      </w:r>
      <w:r w:rsidRPr="006235D0">
        <w:rPr>
          <w:rFonts w:ascii="Times New Roman" w:hAnsi="Times New Roman" w:cs="Times New Roman"/>
          <w:spacing w:val="2"/>
          <w:sz w:val="28"/>
          <w:szCs w:val="28"/>
        </w:rPr>
        <w:t xml:space="preserve">сельсовет муниципального района Иглинский район Республики Башкортостан, а также площадках автостоянок при </w:t>
      </w:r>
      <w:r w:rsidRPr="006235D0">
        <w:rPr>
          <w:rFonts w:ascii="Times New Roman" w:hAnsi="Times New Roman" w:cs="Times New Roman"/>
          <w:spacing w:val="2"/>
          <w:sz w:val="28"/>
          <w:szCs w:val="28"/>
        </w:rPr>
        <w:lastRenderedPageBreak/>
        <w:t>крупных объектах обслуживания.</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4.10. На пешеходных коммуникациях ступени и лестницы следует предусматривать при уклонах более 50 %, обязательно сопровождая их пандусом.</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4.11. Все ступени наружных лестниц в пределах одного марша следует устанавливать одинаковыми по ширине и высоте подъема ступеней.</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4.12. Пандус обычно выполняется из нескользкого материала с шероховатой текстурой поверхности без горизонтальных канавок.</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При отсутствии конструкций, ограждающих пандус, надлежит предусматривать ограждающий бортик высотой не менее 75 мм и поручни.</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900"/>
      </w:tblGrid>
      <w:tr w:rsidR="005E62CA" w:rsidRPr="006235D0" w:rsidTr="009F4F0B">
        <w:trPr>
          <w:trHeight w:val="789"/>
        </w:trPr>
        <w:tc>
          <w:tcPr>
            <w:tcW w:w="3360" w:type="dxa"/>
            <w:tcBorders>
              <w:top w:val="single" w:sz="4" w:space="0" w:color="auto"/>
              <w:bottom w:val="single" w:sz="4" w:space="0" w:color="auto"/>
              <w:right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Высота подъема (в миллиметрах)</w:t>
            </w:r>
          </w:p>
        </w:tc>
      </w:tr>
      <w:tr w:rsidR="005E62CA" w:rsidRPr="006235D0" w:rsidTr="009F4F0B">
        <w:tc>
          <w:tcPr>
            <w:tcW w:w="3360" w:type="dxa"/>
            <w:tcBorders>
              <w:top w:val="single" w:sz="4" w:space="0" w:color="auto"/>
              <w:bottom w:val="single" w:sz="4" w:space="0" w:color="auto"/>
              <w:right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75</w:t>
            </w:r>
          </w:p>
        </w:tc>
      </w:tr>
      <w:tr w:rsidR="005E62CA" w:rsidRPr="006235D0" w:rsidTr="009F4F0B">
        <w:tc>
          <w:tcPr>
            <w:tcW w:w="3360" w:type="dxa"/>
            <w:tcBorders>
              <w:top w:val="single" w:sz="4" w:space="0" w:color="auto"/>
              <w:bottom w:val="single" w:sz="4" w:space="0" w:color="auto"/>
              <w:right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150</w:t>
            </w:r>
          </w:p>
        </w:tc>
      </w:tr>
      <w:tr w:rsidR="005E62CA" w:rsidRPr="006235D0" w:rsidTr="009F4F0B">
        <w:tc>
          <w:tcPr>
            <w:tcW w:w="3360" w:type="dxa"/>
            <w:tcBorders>
              <w:top w:val="single" w:sz="4" w:space="0" w:color="auto"/>
              <w:bottom w:val="single" w:sz="4" w:space="0" w:color="auto"/>
              <w:right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600</w:t>
            </w:r>
          </w:p>
        </w:tc>
      </w:tr>
      <w:tr w:rsidR="005E62CA" w:rsidRPr="006235D0" w:rsidTr="009F4F0B">
        <w:tc>
          <w:tcPr>
            <w:tcW w:w="3360" w:type="dxa"/>
            <w:tcBorders>
              <w:top w:val="single" w:sz="4" w:space="0" w:color="auto"/>
              <w:bottom w:val="single" w:sz="4" w:space="0" w:color="auto"/>
              <w:right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tcBorders>
          </w:tcPr>
          <w:p w:rsidR="005E62CA" w:rsidRPr="006235D0" w:rsidRDefault="005E62CA" w:rsidP="009F4F0B">
            <w:pPr>
              <w:spacing w:after="0"/>
              <w:rPr>
                <w:rFonts w:ascii="Times New Roman" w:hAnsi="Times New Roman" w:cs="Times New Roman"/>
                <w:sz w:val="28"/>
                <w:szCs w:val="28"/>
              </w:rPr>
            </w:pPr>
            <w:r w:rsidRPr="006235D0">
              <w:rPr>
                <w:rFonts w:ascii="Times New Roman" w:hAnsi="Times New Roman" w:cs="Times New Roman"/>
                <w:sz w:val="28"/>
                <w:szCs w:val="28"/>
              </w:rPr>
              <w:t>760</w:t>
            </w:r>
          </w:p>
        </w:tc>
      </w:tr>
    </w:tbl>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4.13.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lastRenderedPageBreak/>
        <w:tab/>
        <w:t>На горизонтальных площадках по окончании спуска следует проектировать дренажные устройства.</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При проектировании необходимо предусматривать конструкции поручней, исключающие соприкосновение руки с металлом.</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r w:rsidRPr="006235D0">
        <w:rPr>
          <w:rFonts w:ascii="Times New Roman" w:hAnsi="Times New Roman" w:cs="Times New Roman"/>
          <w:spacing w:val="2"/>
          <w:sz w:val="28"/>
          <w:szCs w:val="28"/>
        </w:rPr>
        <w:tab/>
        <w:t>4.17.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5E62CA" w:rsidRPr="006235D0" w:rsidRDefault="005E62CA" w:rsidP="005E62CA">
      <w:pPr>
        <w:widowControl w:val="0"/>
        <w:shd w:val="clear" w:color="auto" w:fill="FFFFFF"/>
        <w:tabs>
          <w:tab w:val="left" w:pos="0"/>
        </w:tabs>
        <w:autoSpaceDE w:val="0"/>
        <w:autoSpaceDN w:val="0"/>
        <w:adjustRightInd w:val="0"/>
        <w:spacing w:after="0"/>
        <w:ind w:right="538"/>
        <w:jc w:val="both"/>
        <w:rPr>
          <w:rFonts w:ascii="Times New Roman" w:hAnsi="Times New Roman" w:cs="Times New Roman"/>
          <w:spacing w:val="2"/>
          <w:sz w:val="28"/>
          <w:szCs w:val="28"/>
        </w:rPr>
      </w:pP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5. ТРЕБОВАНИЯ К ОГРАЖДЕНИЯМ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lastRenderedPageBreak/>
        <w:t>5.1. В целях благоустройства на территории сельского поселения Урманский сельсовет муниципального района Иглинский район Республики Башкортостан применяются различные виды ограждений.</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ab/>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ab/>
        <w:t>5.2.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ab/>
        <w:t>5.3.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ab/>
        <w:t>Ограждения на территории газона необходимо размещать с отступом от границы примыкания порядка 0,2-0,3 м.</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ab/>
        <w:t>5.4.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ab/>
        <w:t>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ab/>
        <w:t>5.6.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6. ВОДНЫЕ УСТРОЙСТВА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w:t>
      </w:r>
      <w:r w:rsidRPr="006235D0">
        <w:rPr>
          <w:rFonts w:ascii="Times New Roman" w:hAnsi="Times New Roman" w:cs="Times New Roman"/>
          <w:sz w:val="28"/>
          <w:szCs w:val="28"/>
        </w:rPr>
        <w:lastRenderedPageBreak/>
        <w:t>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7.ИГРОВОЕ И СПОРТИВНОЕ ОБОРУДОВАНИЕ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7.1.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8. ОСНОВНЫЕ ТРЕБОВАНИЯ ПО ОРГАНИЗАЦИИ ОСВЕЩЕНИЯ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8.1. При проектировании освещения на территории поселения предусматривать функциональное, архитектурное и информационное </w:t>
      </w:r>
      <w:r w:rsidRPr="006235D0">
        <w:rPr>
          <w:rFonts w:ascii="Times New Roman" w:hAnsi="Times New Roman" w:cs="Times New Roman"/>
          <w:sz w:val="28"/>
          <w:szCs w:val="28"/>
        </w:rPr>
        <w:lastRenderedPageBreak/>
        <w:t>освещение с целью решения утилитарных, светопланировочных и светокомпозиционных задач.</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8.4. Опоры на аллеях и пешеходных дорогах должны располагаться вне пешеходной части.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8.10.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w:t>
      </w:r>
      <w:r w:rsidRPr="006235D0">
        <w:rPr>
          <w:rFonts w:ascii="Times New Roman" w:hAnsi="Times New Roman" w:cs="Times New Roman"/>
          <w:sz w:val="28"/>
          <w:szCs w:val="28"/>
        </w:rPr>
        <w:lastRenderedPageBreak/>
        <w:t>информационных материалов, с нарушением установленного органом местного самоуправления порядка.</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9. АРХИТЕКТУРНО-ХУДОЖЕСТВЕННОЕ ОСВЕЩЕНИЕ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9.1.На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9.2.Архитектурно-художественное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10. ИСТОЧНИК СВЕТА </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10.1.В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10.2.Источники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11. МАЛЫЕ АРХИТЕКТУРНЫЕ ФОРМЫ, ГОРОДСКАЯ МЕБЕЛЬ И ХАРАКТЕРНЫЕ ТРЕБОВАНИЯ К НИМ.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11.1.В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w:t>
      </w:r>
      <w:r w:rsidRPr="006235D0">
        <w:rPr>
          <w:rFonts w:ascii="Times New Roman" w:hAnsi="Times New Roman" w:cs="Times New Roman"/>
          <w:sz w:val="28"/>
          <w:szCs w:val="28"/>
        </w:rPr>
        <w:lastRenderedPageBreak/>
        <w:t>привлечения людей к активному и здоровому времяпрепровождению на территории с зелеными насаждениями.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11.2.Для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 </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11.3. При проектировании, выборе МАФ рекомендуется учитывать:</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соответствие материалов и конструкции МАФ климату и назначению МАФ;</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возможность ремонта или замены деталей МАФ;</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защиту от образования наледи и снежных заносов, обеспечение стока воды;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5) удобство обслуживания, а также механизированной и ручной очистки территории рядом с МАФ и под конструкцией;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6) эргономичность конструкций (высоту и наклон спинки, высоту урн и прочее);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7) расцветку, не диссонирующую с окружением;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 безопасность для потенциальных пользователей;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9) стилистическое сочетание с другими МАФ и окружающей архитектурой;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11.4. Общие рекомендации к установке МАФ:</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расположение, не создающее препятствий для пешеходов;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компактная установка на минимальной площади в местах большого скопления людей;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устойчивость конструкции;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5) наличие в каждой конкретной зоне МАФ рекомендуемых типов для такой зоны.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11.5. Рекомендации к установке урн:</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достаточная высота (максимальная до 100 см) и объем;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наличие рельефного текстурирования или перфорирования для защиты от графического вандализма;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защита от дождя и снега;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использование и аккуратное расположение вставных ведер и мусорных мешков.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11.6.Рекомендации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11.7. Рекомендации к установке цветочниц (вазонов), в том числе к навесным цветочницам: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дизайн (цвет, форма) цветочниц (вазонов) не отвлекает внимание от растений;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11.8. При установке ограждений рекомендуется учитывать следующее: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прочность, обеспечивающая защиту пешеходов от наезда автомобилей;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модульность, позволяющая создавать конструкции любой формы;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наличие светоотражающих элементов, в местах возможного наезда автомобиля;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расположение ограды не далее 10 см от края газона;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5) использование нейтральных цветов или естественного цвета используемого материала.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11.9.На тротуарах автомобильных дорог рекомендуется использовать следующие МАФ:</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1) скамейки без спинки с местом для сумок; </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опоры у скамеек для людей с ограниченными возможностями;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заграждения, обеспечивающие защиту пешеходов от наезда автомобилей;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навесные кашпо, навесные цветочницы и вазоны;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5) высокие цветочницы (вазоны) и урны.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11.10.Рекомендуется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11.11. Для пешеходных зон рекомендуется использовать следующие МАФ:</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уличные фонари, высота которых соотносима с ростом человека;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скамейки, предполагающие длительное сидение;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цветочницы и кашпо (вазоны);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информационные стенды;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5) защитные ограждения;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6) столы для игр.</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11.12.Принципы антивандальной защиты малых архитектурных форм от графического вандализма.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Глухие заборы рекомендуется заменять просматриваемыми. Если нет возможности убрать забор или заменить его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3) Для защиты малообъемных объектов (коммутационных шкафов и других) рекомендуется размещение на поверхности малоформатной рекламы. </w:t>
      </w:r>
      <w:r w:rsidRPr="006235D0">
        <w:rPr>
          <w:rFonts w:ascii="Times New Roman" w:hAnsi="Times New Roman" w:cs="Times New Roman"/>
          <w:sz w:val="28"/>
          <w:szCs w:val="28"/>
        </w:rPr>
        <w:lastRenderedPageBreak/>
        <w:t>Также возможно использование стрит-арта или размещение их внутри афишной тумбы.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6) При проектировании оборудования рекомендуется предусматривать его вандалозащищенность, в том числе: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минимизировать количество оборудования,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 ТРЕБОВАНИЯ К ВНЕШНЕМУ ОБУСТРОЙСТВУ И ОФОРМЛЕНИЮ СТРОИТЕЛЬНЫХ ПЛОЩАДОК.</w:t>
      </w: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12.1.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w:t>
      </w:r>
      <w:r w:rsidRPr="006235D0">
        <w:rPr>
          <w:rFonts w:ascii="Times New Roman" w:hAnsi="Times New Roman" w:cs="Times New Roman"/>
          <w:sz w:val="28"/>
          <w:szCs w:val="28"/>
        </w:rPr>
        <w:lastRenderedPageBreak/>
        <w:t>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12.2. Прокладка инженерных сетей и иные действия,   связанные с ведением земляных работ, могут производиться   только после получения ордера на производство земляных, ремонтных работ, который выдается Администрацией сельского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12.3. 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12.4. 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(заказчика),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госархстройнадзора или органа местного самоуправления, курирующего строительство, сроков начала и окончания работ, схемы объекта.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12.5. До начала производства строительных работ (заказчик) подрядчик обязан:</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      -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      -  обозначить въезды на строительную площадку специальными знаками или указателями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      -  обеспечить наружное освещение по периметру строительной площадки;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 xml:space="preserve">      -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      Высота, конструкция и окраска ограждения согласовываются с Администрацией сельского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эстетическом виде или прочности.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нужд строительства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12.12. При выезде транспорта со строительной площадки он должен быть очищен от грязи.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12.13.При перевозке сыпучих и пылевидных грузов кузов автомобиля должен быть накрыт тентом.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13.ТРЕБОВАНИЯ К РАЗМЕЩЕНИЮ ОБЪЕКТОВ, НЕ ЯВЛЯЮЩИХСЯ ОБЪЕКТАМИ КАПИТАЛЬНОГО СТРОИТЕЛЬСТВА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 xml:space="preserve">13.1. Объекты, не являющиеся объектами капитального строительства, выполняются из сборно-разборных конструкций, не </w:t>
      </w:r>
      <w:r w:rsidRPr="006235D0">
        <w:rPr>
          <w:rFonts w:ascii="Times New Roman" w:hAnsi="Times New Roman" w:cs="Times New Roman"/>
          <w:sz w:val="28"/>
          <w:szCs w:val="28"/>
        </w:rPr>
        <w:lastRenderedPageBreak/>
        <w:t>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13.2. Отделочные материалы указанных объектов должны отвечать санитарно-гигиеническим требованиям, нормам противопожарной безопасности.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13.3. Размещение объектов, не являющихся объектами капитального строительства, на территории сельского поселения Урманский сельсовет муниципального района Иглинский район Республики Башкортостан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сельского поселения Урманский сельсовет муниципального района Иглинский район Республики Башкортостан и благоустройство территории и застройки.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13.4. Не допускается размещение объектов, не являющихся объектами капитального строительства, в том числе киосков: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 на инженерных сетях и в охранных зонах таких сетей без согласования с владельцами сетей;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Объекты, не являющиеся объектами капитального строительства, не должны ухудшать условия проживания и отдыха населения.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 xml:space="preserve">13.5. В сельском поселении Урманский сельсовет муниципального района Иглинский район Республики Башкортостан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w:t>
      </w:r>
      <w:r w:rsidRPr="006235D0">
        <w:rPr>
          <w:rFonts w:ascii="Times New Roman" w:hAnsi="Times New Roman" w:cs="Times New Roman"/>
          <w:sz w:val="28"/>
          <w:szCs w:val="28"/>
        </w:rPr>
        <w:lastRenderedPageBreak/>
        <w:t>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13.6.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13.7.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13.8.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13.9.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14. ОСНОВНЫЕ ТРЕБОВАНИЯ К ЭЛЕМЕНТАМ ОБЪЕКТОВ КАПИТАЛЬНОГО СТРОИТЕЛЬСТВА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14.1. Минимальные требования к благоустройству внешних поверхностей объектов капитального строительства: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14.2.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14.3.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14.4.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14.5. Не допускается: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производить окраску фасадов объектов капитального строительства без предварительного восстановления архитектурных деталей;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самовольное переоборудование балконов и лоджий без соответствующего разрешения;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5) загромождение балконов предметами домашнего обихода (мебелью, тарой и т.п.);</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 ДЕТСКИЕ ПЛОЩАДКИ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15.2.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15.3.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15.4.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15.7.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15.8.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15.10. Для сопряжения поверхностей площадки и газона применяются садовые бортовые камни со скошенными или закругленными краями.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15.11.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15.12.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15.13.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15.14.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15.15.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15.16.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15.17.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15.18.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15.19.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15.20.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15.21.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15.22.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15.23.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15.24.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15.25.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15.26.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15.27. Крепление элементов оборудования должно исключать возможность их демонтажа без применения инструментов.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15.28.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w:t>
      </w:r>
      <w:r w:rsidRPr="006235D0">
        <w:rPr>
          <w:rFonts w:ascii="Times New Roman" w:hAnsi="Times New Roman" w:cs="Times New Roman"/>
          <w:sz w:val="28"/>
          <w:szCs w:val="28"/>
        </w:rPr>
        <w:lastRenderedPageBreak/>
        <w:t>подлежащие периодическому обслуживанию или замене (например, подшипники), должны быть защищены от несанкционированного доступа.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15.29.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15.30.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15.31. Песок в песочнице не должен содержать посторонних предметов, мусора, экскрементов животных, большого количества насекомых.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16. ПЛОЩАДКИ ДЛЯ ОТДЫХА И ДОСУГА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16.1. Площадки для отдыха и досуга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Площадки для отдыха и досуга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16.2. Площадки для отдыха и досуга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16.3. Покрытие площадки для отдыха и досуга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16.4.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16.5. Функционирование осветительного оборудования обеспечивается в режиме освещения территории, на которой расположена площадка.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16.6. Минимальный размер площадки с установкой одного стола со скамьями для настольных игр устанавливается в пределах 12-15 кв.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17. Спортивные площадки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17.5.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18. КОНТЕНЕЙРНЫЕ ПЛОЩАДКИ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18.2.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люминисцентных ламп, бытовых химических источников тока (батареек); осветительного оборудования.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18.3.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18.4.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19. ПЛОЩАДКИ ДЛЯ ВЫГУЛА ЖИВОТНЫХ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19.1.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19.2.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19.3.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19.4.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19.5.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19.6. На территории площадки размещается информационный стенд с правилами пользования площадкой.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19.7. Озеленение проектируется из периметральных плотных посадок высокого кустарника в виде живой изгороди или вертикального озеленения.</w:t>
      </w: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20. ПЛОЩАДКИ ДЛЯ ДРЕССИРОВКИ СОБАК</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20.1.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20.2.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20.3.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20.4.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20.5.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21. ПЛОЩАДКИ АВТОСТОЯНОК, РАЗМЕЩЕНИЕ И ХРАНЕНИЕ ТРАНСПОРТНЫХ СРЕДСТВ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21.1.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21.2.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21.3.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21.4. Размещение и хранение личного легкового автотранспорта на дворовых и внутриквартальных территориях допускаются в один ряд в </w:t>
      </w:r>
      <w:r w:rsidRPr="006235D0">
        <w:rPr>
          <w:rFonts w:ascii="Times New Roman" w:hAnsi="Times New Roman" w:cs="Times New Roman"/>
          <w:sz w:val="28"/>
          <w:szCs w:val="28"/>
        </w:rPr>
        <w:lastRenderedPageBreak/>
        <w:t>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21.5.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21.6. Порядок установки боксовых гаражей, "ракушек", "пеналов" определяется органами местного самоуправления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21.7.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22. ОБЩИЕ ТРЕБОВАНИЯ К УСТАНОВКЕ СРЕДСТВ РАЗМЕЩЕНИЯ ИНФОРМАЦИИ И РЕКЛАМЫ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22.1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части 5.8 статьи 19 Федерального закона от 13.03.2006 № 38-ФЗ «О рекламе».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22.2 Средства размещения информации устанавливаются на территории муниципального образования на основании разрешения на </w:t>
      </w:r>
      <w:r w:rsidRPr="006235D0">
        <w:rPr>
          <w:rFonts w:ascii="Times New Roman" w:hAnsi="Times New Roman" w:cs="Times New Roman"/>
          <w:sz w:val="28"/>
          <w:szCs w:val="28"/>
        </w:rPr>
        <w:lastRenderedPageBreak/>
        <w:t xml:space="preserve">установку средства размещения информации, выдаваемого в порядке, определяемом органом местного самоуправления. </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22.3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22.4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20.5.Размещение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 Рекламные конструкции должны соответствовать художественно-композиционным требованиям к их внешнему виду.</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23. СОДЕРЖАНИЕ ПРИЛЕГАЮЩЕЙ ТЕРРИТОРИИ ЧАСТНЫХ ДОМОВЛАДЕНИЙ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23.1. Собственники домовладений, в том числе используемых для временного (сезонного) проживания, обязаны: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5) не допускать хранения техники, механизмов, автомобилей, в том числе разукомплектованных, на прилегающей территории;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6) не допускать производства ремонта или мойки автомобилей, смены масла или технических жидкостей на прилегающей территории.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Республики Башкортостан.</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8) ликвидировать с  прилегающей территории отходы;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9) соблюдать Санитарные правила содержания территорий населенных мест.</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23.2.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 ОБЕСПЕЧЕНИЕ ЧИСТОТЫ И ПОРЯДКА В ПОСЕЛЕНИИ. ПРАВИЛА ОРГАНИЗАЦИИ И ПРОИЗВОДСТВА УБОРОЧНЫХ РАБОТ</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E62CA" w:rsidRPr="006235D0" w:rsidRDefault="005E62CA" w:rsidP="005E62CA">
      <w:pPr>
        <w:spacing w:after="0"/>
        <w:jc w:val="both"/>
        <w:rPr>
          <w:rFonts w:ascii="Times New Roman" w:hAnsi="Times New Roman" w:cs="Times New Roman"/>
          <w:sz w:val="28"/>
          <w:szCs w:val="28"/>
        </w:rPr>
      </w:pPr>
      <w:r w:rsidRPr="006235D0">
        <w:rPr>
          <w:rFonts w:ascii="Times New Roman" w:hAnsi="Times New Roman" w:cs="Times New Roman"/>
          <w:sz w:val="28"/>
          <w:szCs w:val="28"/>
        </w:rPr>
        <w:t xml:space="preserve">24.1.1. Юридические лица (индивидуальные предприниматели), осуществляющие свою деятельность на территории поселения, или физические лица обязаны производить своевременный ремонт и покраску зданий (фасадов, цоколей, окон, дверей, балконов), заборов и других ограждений (установка заборов разрешается высотой до 2 метров, цвет их окраски согласовывается  с Администрацией сельского поселения;очистку территории от мусора, снега, льда и их вывоз в специально отведенные места;регулярное скашивание  травы в зеленой зоне, прополку газонов и цветников, посев трав, уничтожение сорной растительности; оборудование ступенек крылец в местах массового пребывания людей противоскользящим покрытием; регулярную очистку в зимний период крыш, карнизов, </w:t>
      </w:r>
      <w:r w:rsidRPr="006235D0">
        <w:rPr>
          <w:rFonts w:ascii="Times New Roman" w:hAnsi="Times New Roman" w:cs="Times New Roman"/>
          <w:sz w:val="28"/>
          <w:szCs w:val="28"/>
        </w:rPr>
        <w:lastRenderedPageBreak/>
        <w:t>козырьков и других выступающих частей зданий и сооружений от снега, наледи, сосулек; наблюдение  за состоянием аншлагов и номеров зданий;установку, ремонт, покраску и очистку малых архитектурных форм, покраску бордюров;обеспечение в вечернее и ночное время освещения прилегающей территории, основных и запасных выходов здания;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сельского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Республики Башкортостан края и правовыми актами органов местного самоуправления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24.1.4. Дворовые территории, внутридворовые проезды и тротуары, места массового посещения на территории муниципальных образований ежедневно подметаются отсмета, пыли и мелкого бытового мусора, на территориях и прилегающих территориях юридических лиц и индивидуальных предпринимателей.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В случае, если смотровые и дождеприемные колодцы централизованной ливневой системы водоотведения не закреплены за </w:t>
      </w:r>
      <w:r w:rsidRPr="006235D0">
        <w:rPr>
          <w:rFonts w:ascii="Times New Roman" w:hAnsi="Times New Roman" w:cs="Times New Roman"/>
          <w:sz w:val="28"/>
          <w:szCs w:val="28"/>
        </w:rPr>
        <w:lastRenderedPageBreak/>
        <w:t>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24.1.10. Юридические и физические лица должны соблюдать чистоту и поддерживать порядок на всей территории поселения.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24.1.11. Запрещается: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мойка транспортных средств, слив топлива, масел, технических жидкостей вне специально отведенных мест;</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24.1.12. Подъездные пути к рынкам, торговым и развлекательным центрам, иным объектам торговли и сферы услуг должны иметь твердое покрытие.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24.1.14.Ответственными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а) на придомовых территориях многоквартирных домов: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w:t>
      </w:r>
      <w:r w:rsidRPr="006235D0">
        <w:rPr>
          <w:rFonts w:ascii="Times New Roman" w:hAnsi="Times New Roman" w:cs="Times New Roman"/>
          <w:sz w:val="28"/>
          <w:szCs w:val="28"/>
        </w:rPr>
        <w:lastRenderedPageBreak/>
        <w:t>отсутствии таких договоров - товарищество собственников жилья в многоквартирном доме или управляющая  организация;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в)   на земельных участках, право собственности и иные вещные права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 строительства многоквартирного дома согласно проектной документации;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д)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з) на неиспользуемых и не осваиваемых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lastRenderedPageBreak/>
        <w:t>и) на территориях, расположенных на расстоянии 10 метров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л) на территориях посадочных площадок пассажирского транспорта - предприятия, производящие уборку проезжей части;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м) на территориях гаражно-строительных (гаражно-эксплуатационных) кооперативов - соответствующие кооперативы;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н) на территориях садоводческих и огороднических некоммерческих объединений граждан - соответствующие объединения;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о) на тротуарах: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 </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25. Содержание домашнего скота и птицы</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25.1.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 xml:space="preserve">25.2.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w:t>
      </w:r>
      <w:r w:rsidRPr="006235D0">
        <w:rPr>
          <w:rFonts w:ascii="Times New Roman" w:hAnsi="Times New Roman" w:cs="Times New Roman"/>
          <w:sz w:val="28"/>
          <w:szCs w:val="28"/>
        </w:rPr>
        <w:lastRenderedPageBreak/>
        <w:t>владельцами или уполномоченными ими лицами договоры на оказание услуг по выпасу животных (далее – пастух).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25.3.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Запрещается прогонять животных по пешеходным дорожкам и мостикам.</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26. ОТВЕТСТВЕННОСТЬ ЗА НЕИСПОЛНЕНИЕ НАСТОЯЩИХ ПРАВИЛ</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26.1.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Кодексом Республики Башкортостан «Об административных правонарушениях».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26.2.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ab/>
        <w:t>26.3.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27. ВСТУПЛЕНИЕ НАСТОЯЩИХ ПРАВИЛ В ЗАКОННУЮ СИЛУ</w:t>
      </w:r>
    </w:p>
    <w:p w:rsidR="005E62CA" w:rsidRPr="006235D0" w:rsidRDefault="005E62CA" w:rsidP="005E62CA">
      <w:pPr>
        <w:spacing w:after="0"/>
        <w:ind w:firstLine="709"/>
        <w:jc w:val="both"/>
        <w:rPr>
          <w:rFonts w:ascii="Times New Roman" w:hAnsi="Times New Roman" w:cs="Times New Roman"/>
          <w:sz w:val="28"/>
          <w:szCs w:val="28"/>
        </w:rPr>
      </w:pPr>
      <w:r w:rsidRPr="006235D0">
        <w:rPr>
          <w:rFonts w:ascii="Times New Roman" w:hAnsi="Times New Roman" w:cs="Times New Roman"/>
          <w:sz w:val="28"/>
          <w:szCs w:val="28"/>
        </w:rPr>
        <w:t>27.1 Настоящие Правила вступают в законную силу со дня их обнародования.</w:t>
      </w: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ind w:firstLine="709"/>
        <w:jc w:val="both"/>
        <w:rPr>
          <w:rFonts w:ascii="Times New Roman" w:hAnsi="Times New Roman" w:cs="Times New Roman"/>
          <w:sz w:val="28"/>
          <w:szCs w:val="28"/>
        </w:rPr>
      </w:pPr>
    </w:p>
    <w:p w:rsidR="005E62CA" w:rsidRPr="006235D0" w:rsidRDefault="005E62CA" w:rsidP="005E62CA">
      <w:pPr>
        <w:spacing w:after="0"/>
        <w:rPr>
          <w:rFonts w:ascii="Times New Roman" w:hAnsi="Times New Roman" w:cs="Times New Roman"/>
          <w:sz w:val="28"/>
          <w:szCs w:val="28"/>
        </w:rPr>
      </w:pPr>
    </w:p>
    <w:p w:rsidR="005E62CA" w:rsidRPr="006235D0" w:rsidRDefault="005E62CA" w:rsidP="005E62CA">
      <w:pPr>
        <w:spacing w:after="0"/>
        <w:rPr>
          <w:rFonts w:ascii="Times New Roman" w:hAnsi="Times New Roman" w:cs="Times New Roman"/>
          <w:sz w:val="28"/>
          <w:szCs w:val="28"/>
        </w:rPr>
      </w:pPr>
    </w:p>
    <w:p w:rsidR="00D30CAB" w:rsidRDefault="00D30CAB"/>
    <w:sectPr w:rsidR="00D30CAB" w:rsidSect="00C30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93DEA"/>
    <w:multiLevelType w:val="hybridMultilevel"/>
    <w:tmpl w:val="D000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E62CA"/>
    <w:rsid w:val="005E62CA"/>
    <w:rsid w:val="00D30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62CA"/>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2CA"/>
    <w:rPr>
      <w:rFonts w:ascii="Times New Roman" w:eastAsia="Times New Roman" w:hAnsi="Times New Roman" w:cs="Times New Roman"/>
      <w:b/>
      <w:sz w:val="24"/>
      <w:szCs w:val="20"/>
    </w:rPr>
  </w:style>
  <w:style w:type="paragraph" w:styleId="3">
    <w:name w:val="Body Text Indent 3"/>
    <w:basedOn w:val="a"/>
    <w:link w:val="30"/>
    <w:rsid w:val="005E62CA"/>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5E62CA"/>
    <w:rPr>
      <w:rFonts w:ascii="Times New Roman" w:eastAsia="Times New Roman" w:hAnsi="Times New Roman" w:cs="Times New Roman"/>
      <w:sz w:val="28"/>
      <w:szCs w:val="20"/>
    </w:rPr>
  </w:style>
  <w:style w:type="paragraph" w:styleId="a3">
    <w:name w:val="Body Text"/>
    <w:basedOn w:val="a"/>
    <w:link w:val="a4"/>
    <w:rsid w:val="005E62C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5E62CA"/>
    <w:rPr>
      <w:rFonts w:ascii="Times New Roman" w:eastAsia="Times New Roman" w:hAnsi="Times New Roman" w:cs="Times New Roman"/>
      <w:sz w:val="28"/>
      <w:szCs w:val="20"/>
    </w:rPr>
  </w:style>
  <w:style w:type="paragraph" w:styleId="a5">
    <w:name w:val="No Spacing"/>
    <w:link w:val="a6"/>
    <w:uiPriority w:val="99"/>
    <w:qFormat/>
    <w:rsid w:val="005E62CA"/>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99"/>
    <w:locked/>
    <w:rsid w:val="005E62CA"/>
    <w:rPr>
      <w:rFonts w:ascii="Calibri" w:eastAsia="Calibri" w:hAnsi="Calibri" w:cs="Times New Roman"/>
      <w:lang w:eastAsia="en-US"/>
    </w:rPr>
  </w:style>
  <w:style w:type="paragraph" w:styleId="a7">
    <w:name w:val="Balloon Text"/>
    <w:basedOn w:val="a"/>
    <w:link w:val="a8"/>
    <w:uiPriority w:val="99"/>
    <w:semiHidden/>
    <w:unhideWhenUsed/>
    <w:rsid w:val="005E6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16378</Words>
  <Characters>93357</Characters>
  <Application>Microsoft Office Word</Application>
  <DocSecurity>0</DocSecurity>
  <Lines>777</Lines>
  <Paragraphs>219</Paragraphs>
  <ScaleCrop>false</ScaleCrop>
  <Company>SE7EN TEAMS</Company>
  <LinksUpToDate>false</LinksUpToDate>
  <CharactersWithSpaces>109516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2017-11-17T06:56:00Z</dcterms:created>
  <dcterms:modified xsi:type="dcterms:W3CDTF">2017-11-17T06:57:00Z</dcterms:modified>
</cp:coreProperties>
</file>